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sz w:val="26"/>
          <w:szCs w:val="26"/>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r w:rsidDel="00000000" w:rsidR="00000000" w:rsidRPr="00000000">
        <w:rPr>
          <w:rtl w:val="0"/>
        </w:rPr>
      </w:r>
    </w:p>
    <w:p w:rsidR="00000000" w:rsidDel="00000000" w:rsidP="00000000" w:rsidRDefault="00000000" w:rsidRPr="00000000" w14:paraId="0000000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r w:rsidDel="00000000" w:rsidR="00000000" w:rsidRPr="00000000">
        <w:rPr>
          <w:rtl w:val="0"/>
        </w:rPr>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not be subject to Indexation</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r w:rsidDel="00000000" w:rsidR="00000000" w:rsidRPr="00000000">
        <w:rPr>
          <w:rtl w:val="0"/>
        </w:rPr>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Costs and expenses </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sz w:val="24"/>
          <w:szCs w:val="24"/>
          <w:rtl w:val="0"/>
        </w:rPr>
        <w:t xml:space="preserve">Except as expressly set out in paragraph 4 (Reimbursable Expenses) of this Framework Schedule 3, the Framework Prices shall include all costs and expenses relating to the Services provided to the Buyer and/or the Suppliers performance of its obligations under any Call Off Contracts and no further amounts shall be payable by a Buyer to the Supplier in respect of such performance, including in respect of matters such as: </w:t>
      </w:r>
      <w:r w:rsidDel="00000000" w:rsidR="00000000" w:rsidRPr="00000000">
        <w:rPr>
          <w:rtl w:val="0"/>
        </w:rPr>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4.251968503937" w:right="0" w:hanging="850.3937007874017"/>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incidental expenses that the Supplier incurs, including travel, subsistence and lodging, document or report reproduction, shipping, desktop or office equipment costs required by the Supplier Personnel, network or data interchange costs or other telecommunications charges; or </w:t>
      </w:r>
      <w:r w:rsidDel="00000000" w:rsidR="00000000" w:rsidRPr="00000000">
        <w:rPr>
          <w:rtl w:val="0"/>
        </w:rPr>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46.1417322834649"/>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any amount for any services provided or costs incurred by the Supplier prior to the commencement date of any Call Off Contract.</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or</w:t>
      </w:r>
      <w:r w:rsidDel="00000000" w:rsidR="00000000" w:rsidRPr="00000000">
        <w:rPr>
          <w:rtl w:val="0"/>
        </w:rPr>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numPr>
          <w:ilvl w:val="0"/>
          <w:numId w:val="1"/>
        </w:numPr>
        <w:tabs>
          <w:tab w:val="left" w:pos="142"/>
        </w:tabs>
        <w:spacing w:after="240" w:before="120" w:line="240" w:lineRule="auto"/>
        <w:ind w:left="360" w:hanging="360"/>
        <w:jc w:val="both"/>
        <w:rPr>
          <w:rFonts w:ascii="Calibri" w:cs="Calibri" w:eastAsia="Calibri" w:hAnsi="Calibri"/>
          <w:sz w:val="22"/>
          <w:szCs w:val="22"/>
        </w:rPr>
      </w:pPr>
      <w:r w:rsidDel="00000000" w:rsidR="00000000" w:rsidRPr="00000000">
        <w:rPr>
          <w:rFonts w:ascii="Arial" w:cs="Arial" w:eastAsia="Arial" w:hAnsi="Arial"/>
          <w:b w:val="1"/>
          <w:sz w:val="24"/>
          <w:szCs w:val="24"/>
          <w:rtl w:val="0"/>
        </w:rPr>
        <w:t xml:space="preserve">Reimbursable expenses</w:t>
      </w:r>
      <w:r w:rsidDel="00000000" w:rsidR="00000000" w:rsidRPr="00000000">
        <w:rPr>
          <w:rtl w:val="0"/>
        </w:rPr>
      </w:r>
    </w:p>
    <w:p w:rsidR="00000000" w:rsidDel="00000000" w:rsidP="00000000" w:rsidRDefault="00000000" w:rsidRPr="00000000" w14:paraId="00000012">
      <w:pPr>
        <w:numPr>
          <w:ilvl w:val="1"/>
          <w:numId w:val="1"/>
        </w:numPr>
        <w:tabs>
          <w:tab w:val="left" w:pos="142"/>
        </w:tabs>
        <w:spacing w:after="240" w:before="120" w:line="240" w:lineRule="auto"/>
        <w:ind w:left="644" w:hanging="359.9999999999999"/>
        <w:jc w:val="both"/>
        <w:rPr>
          <w:sz w:val="24"/>
          <w:szCs w:val="24"/>
        </w:rPr>
      </w:pPr>
      <w:r w:rsidDel="00000000" w:rsidR="00000000" w:rsidRPr="00000000">
        <w:rPr>
          <w:rFonts w:ascii="Arial" w:cs="Arial" w:eastAsia="Arial" w:hAnsi="Arial"/>
          <w:sz w:val="24"/>
          <w:szCs w:val="24"/>
          <w:rtl w:val="0"/>
        </w:rPr>
        <w:t xml:space="preserve">Where Services are to be provided to the Buyer under any Call Off Contract on the basis of Framework Prices submitted by the Supplier to CCS using the Time and Materials pricing mechanism set out in Annex 1, the Supplier shall be entitled to be reimbursed by the Buyer for Reimbursable Expenses (in addition to being paid the relevant Charges under the respective Call Off Contracts), provided that such Reimbursable Expenses are supported by Supporting Documentation. 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13">
      <w:pPr>
        <w:numPr>
          <w:ilvl w:val="0"/>
          <w:numId w:val="1"/>
        </w:numPr>
        <w:tabs>
          <w:tab w:val="left" w:pos="142"/>
        </w:tabs>
        <w:spacing w:after="240" w:before="120" w:line="240" w:lineRule="auto"/>
        <w:ind w:left="360" w:hanging="360"/>
        <w:jc w:val="both"/>
        <w:rPr>
          <w:sz w:val="24"/>
          <w:szCs w:val="24"/>
        </w:rPr>
      </w:pPr>
      <w:r w:rsidDel="00000000" w:rsidR="00000000" w:rsidRPr="00000000">
        <w:rPr>
          <w:rFonts w:ascii="Arial" w:cs="Arial" w:eastAsia="Arial" w:hAnsi="Arial"/>
          <w:b w:val="1"/>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4">
      <w:pPr>
        <w:numPr>
          <w:ilvl w:val="1"/>
          <w:numId w:val="1"/>
        </w:numPr>
        <w:tabs>
          <w:tab w:val="left" w:pos="709"/>
        </w:tabs>
        <w:spacing w:after="120" w:before="120" w:line="240" w:lineRule="auto"/>
        <w:ind w:left="644" w:hanging="359.9999999999999"/>
        <w:rPr/>
      </w:pPr>
      <w:r w:rsidDel="00000000" w:rsidR="00000000" w:rsidRPr="00000000">
        <w:rPr>
          <w:rFonts w:ascii="Arial" w:cs="Arial" w:eastAsia="Arial" w:hAnsi="Arial"/>
          <w:sz w:val="24"/>
          <w:szCs w:val="24"/>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15">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Specific Change in Law in accordance with Clause 24;</w:t>
      </w:r>
      <w:r w:rsidDel="00000000" w:rsidR="00000000" w:rsidRPr="00000000">
        <w:rPr>
          <w:rtl w:val="0"/>
        </w:rPr>
      </w:r>
    </w:p>
    <w:p w:rsidR="00000000" w:rsidDel="00000000" w:rsidP="00000000" w:rsidRDefault="00000000" w:rsidRPr="00000000" w14:paraId="00000016">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review in accordance with insurance requirements in Clause 13; </w:t>
      </w:r>
      <w:r w:rsidDel="00000000" w:rsidR="00000000" w:rsidRPr="00000000">
        <w:rPr>
          <w:rtl w:val="0"/>
        </w:rPr>
      </w:r>
    </w:p>
    <w:p w:rsidR="00000000" w:rsidDel="00000000" w:rsidP="00000000" w:rsidRDefault="00000000" w:rsidRPr="00000000" w14:paraId="00000017">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benchmarking review in accordance with Call Off Schedule 16 (Benchmarking): and</w:t>
      </w:r>
      <w:r w:rsidDel="00000000" w:rsidR="00000000" w:rsidRPr="00000000">
        <w:rPr>
          <w:rtl w:val="0"/>
        </w:rPr>
      </w:r>
    </w:p>
    <w:p w:rsidR="00000000" w:rsidDel="00000000" w:rsidP="00000000" w:rsidRDefault="00000000" w:rsidRPr="00000000" w14:paraId="00000018">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request from the Supplier, which it can make at any time, to decrease the Framework Prices.</w:t>
      </w:r>
      <w:r w:rsidDel="00000000" w:rsidR="00000000" w:rsidRPr="00000000">
        <w:rPr>
          <w:rtl w:val="0"/>
        </w:rPr>
      </w:r>
    </w:p>
    <w:p w:rsidR="00000000" w:rsidDel="00000000" w:rsidP="00000000" w:rsidRDefault="00000000" w:rsidRPr="00000000" w14:paraId="00000019">
      <w:pPr>
        <w:tabs>
          <w:tab w:val="left" w:pos="1985"/>
          <w:tab w:val="left" w:pos="2127"/>
        </w:tabs>
        <w:spacing w:after="120" w:before="120" w:line="240" w:lineRule="auto"/>
        <w:ind w:left="608.000000000000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numPr>
          <w:ilvl w:val="0"/>
          <w:numId w:val="1"/>
        </w:numPr>
        <w:tabs>
          <w:tab w:val="left"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Not Used  </w:t>
      </w:r>
      <w:r w:rsidDel="00000000" w:rsidR="00000000" w:rsidRPr="00000000">
        <w:rPr>
          <w:rtl w:val="0"/>
        </w:rPr>
      </w:r>
    </w:p>
    <w:p w:rsidR="00000000" w:rsidDel="00000000" w:rsidP="00000000" w:rsidRDefault="00000000" w:rsidRPr="00000000" w14:paraId="0000001B">
      <w:pPr>
        <w:numPr>
          <w:ilvl w:val="0"/>
          <w:numId w:val="1"/>
        </w:numPr>
        <w:tabs>
          <w:tab w:val="left" w:pos="142"/>
        </w:tabs>
        <w:spacing w:after="240" w:before="120" w:line="240" w:lineRule="auto"/>
        <w:ind w:left="360"/>
        <w:jc w:val="both"/>
        <w:rPr>
          <w:b w:val="1"/>
        </w:rPr>
      </w:pPr>
      <w:r w:rsidDel="00000000" w:rsidR="00000000" w:rsidRPr="00000000">
        <w:rPr>
          <w:rFonts w:ascii="Arial" w:cs="Arial" w:eastAsia="Arial" w:hAnsi="Arial"/>
          <w:b w:val="1"/>
          <w:sz w:val="24"/>
          <w:szCs w:val="24"/>
          <w:rtl w:val="0"/>
        </w:rPr>
        <w:t xml:space="preserve">When you will be reimbursed for travel and subsistence</w:t>
      </w:r>
    </w:p>
    <w:p w:rsidR="00000000" w:rsidDel="00000000" w:rsidP="00000000" w:rsidRDefault="00000000" w:rsidRPr="00000000" w14:paraId="0000001C">
      <w:pPr>
        <w:numPr>
          <w:ilvl w:val="1"/>
          <w:numId w:val="1"/>
        </w:numPr>
        <w:tabs>
          <w:tab w:val="left" w:pos="709"/>
        </w:tabs>
        <w:spacing w:after="120" w:before="120" w:line="240" w:lineRule="auto"/>
        <w:ind w:left="644" w:hanging="359.9999999999998"/>
      </w:pPr>
      <w:r w:rsidDel="00000000" w:rsidR="00000000" w:rsidRPr="00000000">
        <w:rPr>
          <w:rFonts w:ascii="Arial" w:cs="Arial" w:eastAsia="Arial" w:hAnsi="Arial"/>
          <w:sz w:val="24"/>
          <w:szCs w:val="24"/>
          <w:rtl w:val="0"/>
        </w:rPr>
        <w:t xml:space="preserve">Expenses shall only be recoverable where:</w:t>
      </w:r>
    </w:p>
    <w:p w:rsidR="00000000" w:rsidDel="00000000" w:rsidP="00000000" w:rsidRDefault="00000000" w:rsidRPr="00000000" w14:paraId="0000001D">
      <w:pPr>
        <w:numPr>
          <w:ilvl w:val="2"/>
          <w:numId w:val="1"/>
        </w:numPr>
        <w:tabs>
          <w:tab w:val="left" w:pos="1985"/>
          <w:tab w:val="left" w:pos="2127"/>
          <w:tab w:val="left" w:pos="1980"/>
        </w:tabs>
        <w:spacing w:after="120" w:before="120" w:line="240" w:lineRule="auto"/>
        <w:ind w:left="990" w:firstLine="143.85826771653498"/>
        <w:rPr>
          <w:rFonts w:ascii="Arial" w:cs="Arial" w:eastAsia="Arial" w:hAnsi="Arial"/>
        </w:rPr>
      </w:pPr>
      <w:r w:rsidDel="00000000" w:rsidR="00000000" w:rsidRPr="00000000">
        <w:rPr>
          <w:rFonts w:ascii="Arial" w:cs="Arial" w:eastAsia="Arial" w:hAnsi="Arial"/>
          <w:sz w:val="24"/>
          <w:szCs w:val="24"/>
          <w:rtl w:val="0"/>
        </w:rPr>
        <w:t xml:space="preserve">any of the pricing mechanisms listed in Annex 1 is used; and</w:t>
      </w:r>
    </w:p>
    <w:p w:rsidR="00000000" w:rsidDel="00000000" w:rsidP="00000000" w:rsidRDefault="00000000" w:rsidRPr="00000000" w14:paraId="0000001E">
      <w:pPr>
        <w:numPr>
          <w:ilvl w:val="2"/>
          <w:numId w:val="1"/>
        </w:numPr>
        <w:tabs>
          <w:tab w:val="left" w:pos="1985"/>
          <w:tab w:val="left" w:pos="2127"/>
          <w:tab w:val="left" w:pos="1980"/>
        </w:tabs>
        <w:spacing w:after="120" w:before="120" w:line="240" w:lineRule="auto"/>
        <w:ind w:left="990" w:firstLine="143.85826771653498"/>
        <w:rPr>
          <w:rFonts w:ascii="Arial" w:cs="Arial" w:eastAsia="Arial" w:hAnsi="Arial"/>
        </w:rPr>
      </w:pPr>
      <w:r w:rsidDel="00000000" w:rsidR="00000000" w:rsidRPr="00000000">
        <w:rPr>
          <w:rFonts w:ascii="Arial" w:cs="Arial" w:eastAsia="Arial" w:hAnsi="Arial"/>
          <w:sz w:val="24"/>
          <w:szCs w:val="24"/>
          <w:rtl w:val="0"/>
        </w:rPr>
        <w:t xml:space="preserve">the Order Form states that recovery is permitted; and</w:t>
      </w:r>
    </w:p>
    <w:p w:rsidR="00000000" w:rsidDel="00000000" w:rsidP="00000000" w:rsidRDefault="00000000" w:rsidRPr="00000000" w14:paraId="0000001F">
      <w:pPr>
        <w:numPr>
          <w:ilvl w:val="2"/>
          <w:numId w:val="1"/>
        </w:numPr>
        <w:tabs>
          <w:tab w:val="left" w:pos="1985"/>
          <w:tab w:val="left" w:pos="2127"/>
          <w:tab w:val="left" w:pos="1980"/>
        </w:tabs>
        <w:spacing w:after="120" w:before="120" w:line="240" w:lineRule="auto"/>
        <w:ind w:left="990" w:firstLine="143.85826771653498"/>
        <w:rPr>
          <w:rFonts w:ascii="Arial" w:cs="Arial" w:eastAsia="Arial" w:hAnsi="Arial"/>
        </w:rPr>
      </w:pPr>
      <w:r w:rsidDel="00000000" w:rsidR="00000000" w:rsidRPr="00000000">
        <w:rPr>
          <w:rFonts w:ascii="Arial" w:cs="Arial" w:eastAsia="Arial" w:hAnsi="Arial"/>
          <w:sz w:val="24"/>
          <w:szCs w:val="24"/>
          <w:rtl w:val="0"/>
        </w:rPr>
        <w:t xml:space="preserve">they are Reimburseable Expenses and are supported by Supporting Documentation.</w:t>
      </w:r>
    </w:p>
    <w:p w:rsidR="00000000" w:rsidDel="00000000" w:rsidP="00000000" w:rsidRDefault="00000000" w:rsidRPr="00000000" w14:paraId="00000020">
      <w:pPr>
        <w:numPr>
          <w:ilvl w:val="1"/>
          <w:numId w:val="1"/>
        </w:numPr>
        <w:tabs>
          <w:tab w:val="left" w:pos="709"/>
        </w:tabs>
        <w:spacing w:after="120" w:before="120" w:line="240" w:lineRule="auto"/>
        <w:ind w:left="644" w:hanging="359.9999999999998"/>
      </w:pPr>
      <w:bookmarkStart w:colFirst="0" w:colLast="0" w:name="_heading=h.tyjcwt" w:id="2"/>
      <w:bookmarkEnd w:id="2"/>
      <w:r w:rsidDel="00000000" w:rsidR="00000000" w:rsidRPr="00000000">
        <w:rPr>
          <w:rFonts w:ascii="Arial" w:cs="Arial" w:eastAsia="Arial" w:hAnsi="Arial"/>
          <w:sz w:val="24"/>
          <w:szCs w:val="24"/>
          <w:rtl w:val="0"/>
        </w:rPr>
        <w:t xml:space="preserve">For the purposes of paragraph 7.1 of this Schedule, a “</w:t>
      </w:r>
      <w:r w:rsidDel="00000000" w:rsidR="00000000" w:rsidRPr="00000000">
        <w:rPr>
          <w:rFonts w:ascii="Arial" w:cs="Arial" w:eastAsia="Arial" w:hAnsi="Arial"/>
          <w:b w:val="1"/>
          <w:sz w:val="24"/>
          <w:szCs w:val="24"/>
          <w:rtl w:val="0"/>
        </w:rPr>
        <w:t xml:space="preserve">Time and Materials pricing mechanism</w:t>
      </w:r>
      <w:r w:rsidDel="00000000" w:rsidR="00000000" w:rsidRPr="00000000">
        <w:rPr>
          <w:rFonts w:ascii="Arial" w:cs="Arial" w:eastAsia="Arial" w:hAnsi="Arial"/>
          <w:sz w:val="24"/>
          <w:szCs w:val="24"/>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p>
    <w:p w:rsidR="00000000" w:rsidDel="00000000" w:rsidP="00000000" w:rsidRDefault="00000000" w:rsidRPr="00000000" w14:paraId="00000021">
      <w:pPr>
        <w:numPr>
          <w:ilvl w:val="1"/>
          <w:numId w:val="1"/>
        </w:numPr>
        <w:tabs>
          <w:tab w:val="left" w:pos="709"/>
        </w:tabs>
        <w:spacing w:after="120" w:before="120" w:line="240" w:lineRule="auto"/>
        <w:ind w:left="644" w:hanging="359.9999999999998"/>
        <w:rPr>
          <w:highlight w:val="yellow"/>
        </w:rPr>
      </w:pPr>
      <w:bookmarkStart w:colFirst="0" w:colLast="0" w:name="_heading=h.3dy6vkm" w:id="3"/>
      <w:bookmarkEnd w:id="3"/>
      <w:r w:rsidDel="00000000" w:rsidR="00000000" w:rsidRPr="00000000">
        <w:rPr>
          <w:rFonts w:ascii="Arial" w:cs="Arial" w:eastAsia="Arial" w:hAnsi="Arial"/>
          <w:sz w:val="24"/>
          <w:szCs w:val="24"/>
          <w:highlight w:val="yellow"/>
          <w:rtl w:val="0"/>
        </w:rPr>
        <w:t xml:space="preserve">[The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b w:val="1"/>
          <w:sz w:val="36"/>
          <w:szCs w:val="36"/>
        </w:rPr>
      </w:pPr>
      <w:bookmarkStart w:colFirst="0" w:colLast="0" w:name="_heading=h.2et92p0" w:id="4"/>
      <w:bookmarkEnd w:id="4"/>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day rates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1"/>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c>
          <w:tcPr>
            <w:tcBorders>
              <w:bottom w:color="000000" w:space="0" w:sz="4" w:val="single"/>
            </w:tcBorders>
            <w:shd w:fill="548dd4" w:val="clear"/>
          </w:tcPr>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Grade</w:t>
            </w:r>
          </w:p>
        </w:tc>
        <w:tc>
          <w:tcPr>
            <w:tcBorders>
              <w:bottom w:color="000000" w:space="0" w:sz="4" w:val="single"/>
            </w:tcBorders>
            <w:shd w:fill="548dd4" w:val="clear"/>
          </w:tcPr>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Rate (£)</w:t>
            </w:r>
          </w:p>
        </w:tc>
      </w:tr>
      <w:t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1.7322834645668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Partner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[T&amp;M]</w:t>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line="276" w:lineRule="auto"/>
              <w:ind w:lef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Managing Consultancy / Director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line="276" w:lineRule="auto"/>
              <w:ind w:left="0"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Principal Consultant / Associate Director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spacing w:after="0" w:line="276" w:lineRule="auto"/>
              <w:ind w:left="0"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Consultant / Engagement Manager / Project Lead</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hd w:fill="auto" w:val="clear"/>
              <w:spacing w:after="0" w:line="276" w:lineRule="auto"/>
              <w:ind w:left="0"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Consultant</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hd w:fill="auto" w:val="clear"/>
              <w:spacing w:after="0" w:line="276" w:lineRule="auto"/>
              <w:ind w:left="0"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Analyst / Junior Consultant</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bl>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2: Fixed Prices</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of services below shall not be subject to variation by way of Indexation</w:t>
      </w:r>
      <w:r w:rsidDel="00000000" w:rsidR="00000000" w:rsidRPr="00000000">
        <w:rPr>
          <w:rtl w:val="0"/>
        </w:rPr>
      </w:r>
    </w:p>
    <w:tbl>
      <w:tblPr>
        <w:tblStyle w:val="Table2"/>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c>
          <w:tcPr>
            <w:shd w:fill="548dd4" w:val="clear"/>
          </w:tcPr>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w:t>
            </w:r>
          </w:p>
        </w:tc>
        <w:tc>
          <w:tcPr>
            <w:shd w:fill="548dd4" w:val="clear"/>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Framework Price (£)</w:t>
            </w:r>
          </w:p>
        </w:tc>
      </w:tr>
      <w:tr>
        <w:tc>
          <w:tcPr/>
          <w:p w:rsidR="00000000" w:rsidDel="00000000" w:rsidP="00000000" w:rsidRDefault="00000000" w:rsidRPr="00000000" w14:paraId="0000003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fixed price 1]</w:t>
            </w:r>
          </w:p>
        </w:tc>
        <w:tc>
          <w:tcPr>
            <w:shd w:fill="ffffff" w:val="clear"/>
          </w:tcPr>
          <w:p w:rsidR="00000000" w:rsidDel="00000000" w:rsidP="00000000" w:rsidRDefault="00000000" w:rsidRPr="00000000" w14:paraId="0000003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14:paraId="0000003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fixed price 2]</w:t>
            </w:r>
          </w:p>
        </w:tc>
        <w:tc>
          <w:tcPr>
            <w:shd w:fill="ffffff" w:val="clear"/>
          </w:tcPr>
          <w:p w:rsidR="00000000" w:rsidDel="00000000" w:rsidP="00000000" w:rsidRDefault="00000000" w:rsidRPr="00000000" w14:paraId="0000003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F">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0">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1">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2">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3: Volume Based Prices</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3"/>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c>
          <w:tcPr>
            <w:shd w:fill="548dd4" w:val="clear"/>
          </w:tcPr>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 Number</w:t>
            </w:r>
          </w:p>
        </w:tc>
        <w:tc>
          <w:tcPr>
            <w:shd w:fill="548dd4" w:val="clear"/>
          </w:tcPr>
          <w:p w:rsidR="00000000" w:rsidDel="00000000" w:rsidP="00000000" w:rsidRDefault="00000000" w:rsidRPr="00000000" w14:paraId="0000004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Unit</w:t>
            </w:r>
          </w:p>
        </w:tc>
        <w:tc>
          <w:tcPr>
            <w:shd w:fill="548dd4" w:val="clear"/>
          </w:tcPr>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Number of units per Service Period</w:t>
            </w:r>
          </w:p>
        </w:tc>
        <w:tc>
          <w:tcPr>
            <w:shd w:fill="548dd4" w:val="clear"/>
          </w:tcPr>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 per unit (£)</w:t>
            </w:r>
          </w:p>
        </w:tc>
      </w:tr>
      <w:tr>
        <w:tc>
          <w:tcPr>
            <w:vMerge w:val="restart"/>
          </w:tcPr>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volume based price 1]</w:t>
            </w:r>
          </w:p>
        </w:tc>
        <w:tc>
          <w:tcPr>
            <w:vMerge w:val="restart"/>
          </w:tcPr>
          <w:p w:rsidR="00000000" w:rsidDel="00000000" w:rsidP="00000000" w:rsidRDefault="00000000" w:rsidRPr="00000000" w14:paraId="0000004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trHeight w:val="701" w:hRule="atLeast"/>
        </w:trPr>
        <w:tc>
          <w:tcPr>
            <w:vMerge w:val="continue"/>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c>
          <w:tcPr>
            <w:vMerge w:val="restart"/>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volume based price 2]</w:t>
            </w:r>
          </w:p>
        </w:tc>
        <w:tc>
          <w:tcPr>
            <w:vMerge w:val="restart"/>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c>
          <w:tcPr>
            <w:vMerge w:val="continue"/>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58">
      <w:pPr>
        <w:spacing w:after="120" w:before="240" w:line="240"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9026"/>
        <w:tblGridChange w:id="0">
          <w:tblGrid>
            <w:gridCol w:w="9026"/>
          </w:tblGrid>
        </w:tblGridChange>
      </w:tblGrid>
    </w:tbl>
    <w:p w:rsidR="00000000" w:rsidDel="00000000" w:rsidP="00000000" w:rsidRDefault="00000000" w:rsidRPr="00000000" w14:paraId="00000059">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4: Risk and Reward Prices</w:t>
      </w:r>
    </w:p>
    <w:p w:rsidR="00000000" w:rsidDel="00000000" w:rsidP="00000000" w:rsidRDefault="00000000" w:rsidRPr="00000000" w14:paraId="0000005A">
      <w:pPr>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p>
    <w:p w:rsidR="00000000" w:rsidDel="00000000" w:rsidP="00000000" w:rsidRDefault="00000000" w:rsidRPr="00000000" w14:paraId="0000005B">
      <w:pPr>
        <w:spacing w:after="120" w:before="240" w:line="240" w:lineRule="auto"/>
        <w:rPr>
          <w:rFonts w:ascii="Arial" w:cs="Arial" w:eastAsia="Arial" w:hAnsi="Arial"/>
          <w:b w:val="1"/>
          <w:i w:val="1"/>
          <w:sz w:val="24"/>
          <w:szCs w:val="24"/>
        </w:rPr>
      </w:pPr>
      <w:r w:rsidDel="00000000" w:rsidR="00000000" w:rsidRPr="00000000">
        <w:rPr>
          <w:rtl w:val="0"/>
        </w:rPr>
      </w:r>
    </w:p>
    <w:tbl>
      <w:tblPr>
        <w:tblStyle w:val="Table5"/>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c>
          <w:tcPr>
            <w:shd w:fill="548dd4" w:val="clear"/>
          </w:tcPr>
          <w:p w:rsidR="00000000" w:rsidDel="00000000" w:rsidP="00000000" w:rsidRDefault="00000000" w:rsidRPr="00000000" w14:paraId="0000005C">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Price</w:t>
            </w:r>
          </w:p>
        </w:tc>
        <w:tc>
          <w:tcPr>
            <w:shd w:fill="548dd4" w:val="clear"/>
          </w:tcPr>
          <w:p w:rsidR="00000000" w:rsidDel="00000000" w:rsidP="00000000" w:rsidRDefault="00000000" w:rsidRPr="00000000" w14:paraId="0000005D">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Risk and Reward Framework Price (£)</w:t>
            </w:r>
          </w:p>
        </w:tc>
      </w:tr>
      <w:tr>
        <w:tc>
          <w:tcPr/>
          <w:p w:rsidR="00000000" w:rsidDel="00000000" w:rsidP="00000000" w:rsidRDefault="00000000" w:rsidRPr="00000000" w14:paraId="0000005E">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[e.g. risk and reward price 1]</w:t>
            </w:r>
          </w:p>
        </w:tc>
        <w:tc>
          <w:tcPr>
            <w:shd w:fill="ffffff" w:val="clear"/>
          </w:tcPr>
          <w:p w:rsidR="00000000" w:rsidDel="00000000" w:rsidP="00000000" w:rsidRDefault="00000000" w:rsidRPr="00000000" w14:paraId="0000005F">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60">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[e.g. risk and reward price 2]</w:t>
            </w:r>
          </w:p>
        </w:tc>
        <w:tc>
          <w:tcPr>
            <w:shd w:fill="ffffff" w:val="clear"/>
          </w:tcPr>
          <w:p w:rsidR="00000000" w:rsidDel="00000000" w:rsidP="00000000" w:rsidRDefault="00000000" w:rsidRPr="00000000" w14:paraId="00000061">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2">
      <w:pPr>
        <w:keepNext w:val="1"/>
        <w:spacing w:after="240" w:before="240" w:line="240" w:lineRule="auto"/>
        <w:rPr>
          <w:rFonts w:ascii="Arial" w:cs="Arial" w:eastAsia="Arial" w:hAnsi="Arial"/>
          <w:sz w:val="24"/>
          <w:szCs w:val="24"/>
        </w:rPr>
      </w:pPr>
      <w:r w:rsidDel="00000000" w:rsidR="00000000" w:rsidRPr="00000000">
        <w:rPr>
          <w:rtl w:val="0"/>
        </w:rPr>
      </w:r>
    </w:p>
    <w:sectPr>
      <w:footerReference r:id="rId7" w:type="defaul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 xml:space="preserve">Framework Ref: RM6187</w:t>
      <w:tab/>
      <w:t xml:space="preserve">                                           </w:t>
    </w:r>
  </w:p>
  <w:p w:rsidR="00000000" w:rsidDel="00000000" w:rsidP="00000000" w:rsidRDefault="00000000" w:rsidRPr="00000000" w14:paraId="00000064">
    <w:pPr>
      <w:rPr>
        <w:rFonts w:ascii="Arial" w:cs="Arial" w:eastAsia="Arial" w:hAnsi="Arial"/>
      </w:rPr>
    </w:pPr>
    <w:r w:rsidDel="00000000" w:rsidR="00000000" w:rsidRPr="00000000">
      <w:rPr>
        <w:rFonts w:ascii="Arial" w:cs="Arial" w:eastAsia="Arial" w:hAnsi="Arial"/>
        <w:rtl w:val="0"/>
      </w:rPr>
      <w:t xml:space="preserve">Project Version: v1.0</w:t>
      <w:tab/>
      <w:tab/>
      <w:t xml:space="preserve"> </w:t>
      <w:tab/>
      <w:tab/>
      <w:tab/>
      <w:tab/>
      <w:tab/>
      <w:tab/>
      <w:tab/>
      <w:tab/>
      <w:t xml:space="preserve">1</w:t>
    </w:r>
  </w:p>
  <w:p w:rsidR="00000000" w:rsidDel="00000000" w:rsidP="00000000" w:rsidRDefault="00000000" w:rsidRPr="00000000" w14:paraId="00000065">
    <w:pPr>
      <w:rPr>
        <w:rFonts w:ascii="Arial" w:cs="Arial" w:eastAsia="Arial" w:hAnsi="Arial"/>
      </w:rPr>
    </w:pPr>
    <w:r w:rsidDel="00000000" w:rsidR="00000000" w:rsidRPr="00000000">
      <w:rPr>
        <w:rFonts w:ascii="Arial" w:cs="Arial" w:eastAsia="Arial" w:hAnsi="Arial"/>
        <w:rtl w:val="0"/>
      </w:rPr>
      <w:t xml:space="preserve">Model Version: v3.7</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smallCaps w:val="0"/>
        <w:strike w:val="0"/>
        <w:color w:val="000000"/>
        <w:sz w:val="24"/>
        <w:szCs w:val="24"/>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firstLine="143.858267716535"/>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nLpF8ZZsRoFBVJdfUCKCJNY/aQ==">AMUW2mVu4JXp0sxqSIUyTemipHDhbVZxRlat3FTznnGihJ7Sf1RQzo9Owbyaa2qTmyy+aK9EtxXFVux5Y2K9R6EDf4xpLr3bVGbgAhe0oG5vvS0qGqJLes6j23BDFbxLNHna7ddMj9nB2/CctQGwEDj4YHYDJ5Yk1HFMLvLGl8qpnby1eHeuzcmpC1Fi1R7vRtAv8SJhdMoK5igp/Cs57jlmo491vxHbPMfYaVee1ehnadfnlKNhJiUHCuMaEu9Y3FEttv1HS1hG04BnvlbDDFmz259kHRrF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2020-10-16T10:45:00Z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